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43"/>
        <w:jc w:val="center"/>
        <w:rPr>
          <w:b/>
          <w:sz w:val="20"/>
          <w:szCs w:val="20"/>
        </w:rPr>
      </w:pPr>
      <w:r>
        <w:rPr>
          <w:b/>
          <w:bCs/>
          <w:sz w:val="20"/>
          <w:szCs w:val="20"/>
        </w:rPr>
        <w:t xml:space="preserve">Опросный лист </w:t>
      </w:r>
      <w:r>
        <w:rPr>
          <w:b/>
          <w:bCs/>
          <w:sz w:val="20"/>
          <w:szCs w:val="20"/>
        </w:rPr>
        <w:t xml:space="preserve">№ </w:t>
      </w:r>
      <w:r>
        <w:rPr>
          <w:b/>
          <w:sz w:val="20"/>
          <w:szCs w:val="20"/>
        </w:rPr>
        <w:t xml:space="preserve">109</w:t>
      </w:r>
      <w:r>
        <w:rPr>
          <w:b/>
          <w:sz w:val="20"/>
          <w:szCs w:val="20"/>
        </w:rPr>
        <w:t xml:space="preserve">6166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pStyle w:val="643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Знак </w:t>
      </w:r>
      <w:r>
        <w:rPr>
          <w:sz w:val="20"/>
          <w:szCs w:val="20"/>
        </w:rPr>
        <w:t xml:space="preserve">«Не влезай, убьет!»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643"/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1102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392"/>
        <w:gridCol w:w="1701"/>
        <w:gridCol w:w="5670"/>
        <w:gridCol w:w="170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3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" w:type="dxa"/>
            <w:vAlign w:val="top"/>
            <w:textDirection w:val="lrTb"/>
            <w:noWrap w:val="false"/>
          </w:tcPr>
          <w:p>
            <w:pPr>
              <w:pStyle w:val="6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643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643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Наименование параметра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0" w:type="dxa"/>
            <w:vAlign w:val="center"/>
            <w:textDirection w:val="lrTb"/>
            <w:noWrap w:val="false"/>
          </w:tcPr>
          <w:p>
            <w:pPr>
              <w:pStyle w:val="643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643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Требуемое значение параметра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643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Предлагаемое значение параметра (заполняется участником *)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2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" w:type="dxa"/>
            <w:vAlign w:val="center"/>
            <w:textDirection w:val="lrTb"/>
            <w:noWrap w:val="false"/>
          </w:tcPr>
          <w:p>
            <w:pPr>
              <w:pStyle w:val="64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64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Материал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0" w:type="dxa"/>
            <w:vAlign w:val="top"/>
            <w:textDirection w:val="lrTb"/>
            <w:noWrap w:val="false"/>
          </w:tcPr>
          <w:p>
            <w:pPr>
              <w:pStyle w:val="643"/>
              <w:contextualSpacing/>
              <w:ind w:left="29" w:firstLine="708"/>
              <w:jc w:val="both"/>
              <w:tabs>
                <w:tab w:val="left" w:pos="127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негорючий </w:t>
            </w:r>
            <w:r>
              <w:rPr>
                <w:sz w:val="20"/>
                <w:szCs w:val="20"/>
              </w:rPr>
              <w:t xml:space="preserve">пластик</w:t>
            </w:r>
            <w:r>
              <w:rPr>
                <w:sz w:val="20"/>
                <w:szCs w:val="20"/>
              </w:rPr>
              <w:t xml:space="preserve"> ПВХ, толщиной не менее 4 мм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top"/>
            <w:textDirection w:val="lrTb"/>
            <w:noWrap w:val="false"/>
          </w:tcPr>
          <w:p>
            <w:pPr>
              <w:pStyle w:val="6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2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" w:type="dxa"/>
            <w:vAlign w:val="center"/>
            <w:textDirection w:val="lrTb"/>
            <w:noWrap w:val="false"/>
          </w:tcPr>
          <w:p>
            <w:pPr>
              <w:pStyle w:val="64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64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Размер</w:t>
            </w:r>
            <w:r>
              <w:rPr>
                <w:color w:val="000000"/>
                <w:sz w:val="20"/>
                <w:szCs w:val="20"/>
              </w:rPr>
              <w:t xml:space="preserve">, мм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0" w:type="dxa"/>
            <w:vAlign w:val="top"/>
            <w:textDirection w:val="lrTb"/>
            <w:noWrap w:val="false"/>
          </w:tcPr>
          <w:p>
            <w:pPr>
              <w:pStyle w:val="643"/>
              <w:contextualSpacing/>
              <w:ind w:left="29" w:firstLine="708"/>
              <w:jc w:val="both"/>
              <w:tabs>
                <w:tab w:val="left" w:pos="127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200×300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top"/>
            <w:textDirection w:val="lrTb"/>
            <w:noWrap w:val="false"/>
          </w:tcPr>
          <w:p>
            <w:pPr>
              <w:pStyle w:val="6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2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" w:type="dxa"/>
            <w:vAlign w:val="center"/>
            <w:textDirection w:val="lrTb"/>
            <w:noWrap w:val="false"/>
          </w:tcPr>
          <w:p>
            <w:pPr>
              <w:pStyle w:val="64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643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Дополнительные требования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0" w:type="dxa"/>
            <w:vAlign w:val="top"/>
            <w:textDirection w:val="lrTb"/>
            <w:noWrap w:val="false"/>
          </w:tcPr>
          <w:p>
            <w:pPr>
              <w:pStyle w:val="643"/>
              <w:contextualSpacing/>
              <w:ind w:left="29" w:firstLine="708"/>
              <w:jc w:val="both"/>
              <w:tabs>
                <w:tab w:val="left" w:pos="127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Конструкция знака должна предусматривать наличие крепления бандажной металлической лентой в виде прорезей размером не менее 520 мм и 4 отверстия диаметром не менее 3 мм для их крепления на деревянную опору саморезами</w:t>
            </w:r>
            <w:r>
              <w:rPr>
                <w:sz w:val="20"/>
                <w:szCs w:val="20"/>
              </w:rPr>
            </w:r>
          </w:p>
          <w:p>
            <w:pPr>
              <w:pStyle w:val="643"/>
              <w:contextualSpacing/>
              <w:ind w:left="42" w:firstLine="667"/>
              <w:jc w:val="both"/>
              <w:tabs>
                <w:tab w:val="left" w:pos="127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Знак должен имеет 4 отверстия по углам – под крепление саморезами на деревянную опору и 8 отверстий для крепления бандажной лентой на бетонную и металлическую опоры</w:t>
            </w:r>
            <w:r>
              <w:rPr>
                <w:sz w:val="20"/>
                <w:szCs w:val="20"/>
              </w:rPr>
            </w:r>
          </w:p>
          <w:p>
            <w:pPr>
              <w:pStyle w:val="643"/>
              <w:contextualSpacing/>
              <w:ind w:left="29" w:firstLine="708"/>
              <w:jc w:val="both"/>
              <w:tabs>
                <w:tab w:val="left" w:pos="127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Знак безопасности «Не влезай, убьет!» должен быть выполнен согласно стандарта ПАО «Россети» – </w:t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HYPERLINK "https://magazinot.ru/?com=media&amp;t=pdf&amp;f=files|document|34.01-24-001-2015.pdf" \t "_blank"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rStyle w:val="655"/>
                <w:sz w:val="20"/>
                <w:szCs w:val="20"/>
              </w:rPr>
              <w:t xml:space="preserve">СТО 34.01-24-001-2015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 методом прямой печати УФ краской по пластику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643"/>
              <w:contextualSpacing/>
              <w:ind w:left="29" w:firstLine="708"/>
              <w:jc w:val="both"/>
              <w:tabs>
                <w:tab w:val="left" w:pos="1276" w:leader="none"/>
              </w:tabs>
            </w:pPr>
            <w:r>
              <w:rPr>
                <w:sz w:val="20"/>
                <w:szCs w:val="20"/>
              </w:rPr>
              <w:t xml:space="preserve">Нанесение </w:t>
            </w:r>
            <w:r>
              <w:rPr>
                <w:sz w:val="20"/>
                <w:szCs w:val="20"/>
              </w:rPr>
              <w:t xml:space="preserve">текста и изображений выполняется методом прямой полноцветной УФ печати, разрешением не менее 1440 dpi, антивандальное исполнение. Текст и изображения – стойкие к растворителям и слабым растворам кислот, а также к выцветанию на протяжении всего срока службы</w:t>
            </w:r>
            <w:r>
              <w:rPr>
                <w:sz w:val="20"/>
                <w:szCs w:val="20"/>
              </w:rPr>
            </w:r>
            <w:r/>
          </w:p>
          <w:p>
            <w:pPr>
              <w:pStyle w:val="643"/>
              <w:contextualSpacing/>
              <w:ind w:left="29" w:firstLine="708"/>
              <w:jc w:val="both"/>
              <w:tabs>
                <w:tab w:val="left" w:pos="127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Поверхность покрытия должна быть гладкой, однородной, не должна содержать посторонних включений и загрязнения. Не допускается наличие пузырей, потеков, вспучивания, трещин, кратеров, разрывов и отслаиваний покрытия.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643"/>
              <w:contextualSpacing/>
              <w:ind w:left="709"/>
              <w:jc w:val="both"/>
              <w:tabs>
                <w:tab w:val="left" w:pos="127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 изготовлении  знака не допускается:</w:t>
            </w:r>
            <w:r>
              <w:rPr>
                <w:sz w:val="20"/>
                <w:szCs w:val="20"/>
              </w:rPr>
            </w:r>
          </w:p>
          <w:p>
            <w:pPr>
              <w:pStyle w:val="643"/>
              <w:numPr>
                <w:ilvl w:val="0"/>
                <w:numId w:val="13"/>
              </w:numPr>
              <w:contextualSpacing/>
              <w:ind w:left="0" w:firstLine="737"/>
              <w:jc w:val="both"/>
              <w:tabs>
                <w:tab w:val="left" w:pos="1304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разнотон цветов изображений в пределах партии;</w:t>
            </w:r>
            <w:r>
              <w:rPr>
                <w:sz w:val="20"/>
                <w:szCs w:val="20"/>
              </w:rPr>
            </w:r>
          </w:p>
          <w:p>
            <w:pPr>
              <w:pStyle w:val="643"/>
              <w:contextualSpacing/>
              <w:ind w:left="29" w:firstLine="708"/>
              <w:jc w:val="both"/>
              <w:tabs>
                <w:tab w:val="left" w:pos="127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использование цветографических изображений, несоответствующих стандартной шкале Pantone/Ral.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643"/>
              <w:contextualSpacing/>
              <w:ind w:firstLine="7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Знак предназначенный для наружного размещения, должен удовлетворять следующим условиям эксплуатации:</w:t>
            </w:r>
            <w:r>
              <w:rPr>
                <w:sz w:val="20"/>
                <w:szCs w:val="20"/>
              </w:rPr>
            </w:r>
          </w:p>
          <w:p>
            <w:pPr>
              <w:pStyle w:val="643"/>
              <w:numPr>
                <w:ilvl w:val="0"/>
                <w:numId w:val="10"/>
              </w:numPr>
              <w:contextualSpacing/>
              <w:ind w:left="0" w:firstLine="709"/>
              <w:tabs>
                <w:tab w:val="left" w:pos="127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Возможность эксплуатации при температуре окружающей среды от -70℃ до + 50℃ и относительной влажности воздуха от 0 до 100%.</w:t>
            </w:r>
            <w:r>
              <w:rPr>
                <w:sz w:val="20"/>
                <w:szCs w:val="20"/>
              </w:rPr>
            </w:r>
          </w:p>
          <w:p>
            <w:pPr>
              <w:pStyle w:val="643"/>
              <w:numPr>
                <w:ilvl w:val="0"/>
                <w:numId w:val="10"/>
              </w:numPr>
              <w:contextualSpacing/>
              <w:ind w:left="0" w:firstLine="709"/>
              <w:tabs>
                <w:tab w:val="left" w:pos="127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Стойкость текста и изображения к воздействию растворителей и слабых растворов кислот, а также к выцветанию на протяжении всего срока службы.</w:t>
            </w:r>
            <w:r>
              <w:rPr>
                <w:sz w:val="20"/>
                <w:szCs w:val="20"/>
              </w:rPr>
            </w:r>
          </w:p>
          <w:p>
            <w:pPr>
              <w:pStyle w:val="643"/>
              <w:contextualSpacing/>
              <w:ind w:left="29" w:firstLine="708"/>
              <w:jc w:val="both"/>
              <w:tabs>
                <w:tab w:val="left" w:pos="127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Стойкость к воздействию атмосферных осадков (снега, инея, дождя), солнечного излучения, соляного тумана, пыли (для информационных знаков наружного размещения) на протяжении всего срока службы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643"/>
              <w:contextualSpacing/>
              <w:ind w:left="29" w:firstLine="708"/>
              <w:jc w:val="both"/>
              <w:tabs>
                <w:tab w:val="left" w:pos="127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top"/>
            <w:textDirection w:val="lrTb"/>
            <w:noWrap w:val="false"/>
          </w:tcPr>
          <w:p>
            <w:pPr>
              <w:pStyle w:val="6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2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" w:type="dxa"/>
            <w:vAlign w:val="center"/>
            <w:textDirection w:val="lrTb"/>
            <w:noWrap w:val="false"/>
          </w:tcPr>
          <w:p>
            <w:pPr>
              <w:pStyle w:val="64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6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Комплектность поставки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0" w:type="dxa"/>
            <w:vAlign w:val="top"/>
            <w:textDirection w:val="lrTb"/>
            <w:noWrap w:val="false"/>
          </w:tcPr>
          <w:p>
            <w:pPr>
              <w:pStyle w:val="643"/>
              <w:contextualSpacing/>
              <w:ind w:left="29" w:firstLine="708"/>
              <w:jc w:val="both"/>
              <w:tabs>
                <w:tab w:val="left" w:pos="127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отверстия 4 мм по углам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top"/>
            <w:textDirection w:val="lrTb"/>
            <w:noWrap w:val="false"/>
          </w:tcPr>
          <w:p>
            <w:pPr>
              <w:pStyle w:val="6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653"/>
        <w:ind w:left="708"/>
        <w:tabs>
          <w:tab w:val="left" w:pos="1005" w:leader="none"/>
        </w:tabs>
        <w:rPr>
          <w:szCs w:val="20"/>
        </w:rPr>
      </w:pPr>
      <w:r>
        <w:rPr>
          <w:szCs w:val="20"/>
        </w:rPr>
        <w:tab/>
      </w:r>
      <w:r>
        <w:rPr>
          <w:szCs w:val="20"/>
        </w:rPr>
      </w:r>
    </w:p>
    <w:p>
      <w:pPr>
        <w:pStyle w:val="653"/>
        <w:ind w:left="0" w:right="0" w:firstLine="0"/>
        <w:rPr>
          <w:b/>
          <w:sz w:val="24"/>
        </w:rPr>
      </w:pPr>
      <w:r>
        <w:rPr>
          <w:sz w:val="24"/>
        </w:rPr>
        <w:t xml:space="preserve">*Графа «Предлагаемое значение параметра (заполняется участником*)» заполняется Участником</w:t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653"/>
        <w:ind w:left="708"/>
        <w:jc w:val="center"/>
        <w:tabs>
          <w:tab w:val="left" w:pos="975" w:leader="none"/>
        </w:tabs>
        <w:rPr>
          <w:szCs w:val="20"/>
        </w:rPr>
      </w:pPr>
      <w:r>
        <w:rPr>
          <w:b/>
          <w:bCs/>
          <w:szCs w:val="20"/>
        </w:rPr>
        <w:t xml:space="preserve">МАКЕТ:</w:t>
      </w:r>
      <w:r>
        <w:rPr>
          <w:szCs w:val="20"/>
        </w:rPr>
        <w:tab/>
        <w:tab/>
      </w:r>
      <w:r>
        <w:rPr>
          <w:szCs w:val="20"/>
        </w:rPr>
      </w:r>
    </w:p>
    <w:p>
      <w:pPr>
        <w:pStyle w:val="643"/>
        <w:ind w:firstLine="709"/>
        <w:jc w:val="center"/>
        <w:rPr>
          <w:sz w:val="20"/>
          <w:szCs w:val="20"/>
        </w:rPr>
      </w:pPr>
      <w:r>
        <w:rPr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475445" cy="2340644"/>
                <wp:effectExtent l="6350" t="6350" r="6350" b="635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9"/>
                        <a:srcRect l="45718" t="14110" r="1362" b="10290"/>
                        <a:stretch/>
                      </pic:blipFill>
                      <pic:spPr bwMode="auto">
                        <a:xfrm flipH="0" flipV="0">
                          <a:off x="0" y="0"/>
                          <a:ext cx="1475444" cy="23406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116.18pt;height:184.30pt;mso-wrap-distance-left:0.00pt;mso-wrap-distance-top:0.00pt;mso-wrap-distance-right:0.00pt;mso-wrap-distance-bottom:0.00pt;" stroked="f">
                <v:path textboxrect="0,0,0,0"/>
                <v:imagedata r:id="rId9" o:title=""/>
              </v:shape>
            </w:pict>
          </mc:Fallback>
        </mc:AlternateContent>
      </w:r>
      <w:r>
        <w:rPr>
          <w:sz w:val="20"/>
          <w:szCs w:val="20"/>
        </w:rPr>
      </w:r>
      <w:r>
        <w:rPr>
          <w:szCs w:val="20"/>
        </w:rPr>
      </w:r>
      <w:r>
        <w:rPr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6" w:h="16838" w:orient="portrait"/>
      <w:pgMar w:top="709" w:right="0" w:bottom="289" w:left="709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Times New Roman">
    <w:panose1 w:val="02020603050405020304"/>
  </w:font>
  <w:font w:name="Symbol">
    <w:panose1 w:val="05050102010706020507"/>
  </w:font>
  <w:font w:name="Arial">
    <w:panose1 w:val="020B0604020202020204"/>
  </w:font>
  <w:font w:name="Wingdings">
    <w:panose1 w:val="05000000000000000000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20"/>
      <w:numFmt w:val="bullet"/>
      <w:isLgl w:val="false"/>
      <w:suff w:val="tab"/>
      <w:lvlText w:val=""/>
      <w:lvlJc w:val="left"/>
      <w:pPr>
        <w:ind w:left="2421" w:hanging="1005"/>
        <w:tabs>
          <w:tab w:val="num" w:pos="2421" w:leader="none"/>
        </w:tabs>
      </w:pPr>
      <w:rPr>
        <w:rFonts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496" w:hanging="360"/>
        <w:tabs>
          <w:tab w:val="num" w:pos="2496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6" w:hanging="360"/>
        <w:tabs>
          <w:tab w:val="num" w:pos="3216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6" w:hanging="360"/>
        <w:tabs>
          <w:tab w:val="num" w:pos="3936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6" w:hanging="360"/>
        <w:tabs>
          <w:tab w:val="num" w:pos="4656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6" w:hanging="360"/>
        <w:tabs>
          <w:tab w:val="num" w:pos="5376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6" w:hanging="360"/>
        <w:tabs>
          <w:tab w:val="num" w:pos="6096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6" w:hanging="360"/>
        <w:tabs>
          <w:tab w:val="num" w:pos="6816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6" w:hanging="360"/>
        <w:tabs>
          <w:tab w:val="num" w:pos="7536" w:leader="none"/>
        </w:tabs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multiLevelType w:val="hybridMultilevel"/>
    <w:lvl w:ilvl="0">
      <w:start w:val="110"/>
      <w:numFmt w:val="bullet"/>
      <w:isLgl w:val="false"/>
      <w:suff w:val="tab"/>
      <w:lvlText w:val="-"/>
      <w:lvlJc w:val="left"/>
      <w:pPr>
        <w:ind w:left="757" w:hanging="360"/>
        <w:tabs>
          <w:tab w:val="num" w:pos="757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77" w:hanging="360"/>
        <w:tabs>
          <w:tab w:val="num" w:pos="1477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7" w:hanging="360"/>
        <w:tabs>
          <w:tab w:val="num" w:pos="2197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7" w:hanging="360"/>
        <w:tabs>
          <w:tab w:val="num" w:pos="2917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7" w:hanging="360"/>
        <w:tabs>
          <w:tab w:val="num" w:pos="3637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7" w:hanging="360"/>
        <w:tabs>
          <w:tab w:val="num" w:pos="4357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7" w:hanging="360"/>
        <w:tabs>
          <w:tab w:val="num" w:pos="5077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7" w:hanging="360"/>
        <w:tabs>
          <w:tab w:val="num" w:pos="5797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7" w:hanging="360"/>
        <w:tabs>
          <w:tab w:val="num" w:pos="6517" w:leader="none"/>
        </w:tabs>
      </w:pPr>
      <w:rPr>
        <w:rFonts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>
    <w:multiLevelType w:val="hybridMultilevel"/>
    <w:lvl w:ilvl="0">
      <w:start w:val="3"/>
      <w:numFmt w:val="decimal"/>
      <w:isLgl w:val="false"/>
      <w:suff w:val="tab"/>
      <w:lvlText w:val="%1)"/>
      <w:lvlJc w:val="left"/>
      <w:pPr>
        <w:ind w:left="1068" w:hanging="360"/>
        <w:tabs>
          <w:tab w:val="num" w:pos="1068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  <w:tabs>
          <w:tab w:val="num" w:pos="178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  <w:tabs>
          <w:tab w:val="num" w:pos="250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  <w:tabs>
          <w:tab w:val="num" w:pos="322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  <w:tabs>
          <w:tab w:val="num" w:pos="394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  <w:tabs>
          <w:tab w:val="num" w:pos="466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  <w:tabs>
          <w:tab w:val="num" w:pos="538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  <w:tabs>
          <w:tab w:val="num" w:pos="610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  <w:tabs>
          <w:tab w:val="num" w:pos="6828" w:leader="none"/>
        </w:tabs>
      </w:pPr>
    </w:lvl>
  </w:abstractNum>
  <w:abstractNum w:abstractNumId="1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780" w:hanging="360"/>
        <w:tabs>
          <w:tab w:val="num" w:pos="78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  <w:tabs>
          <w:tab w:val="num" w:pos="150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  <w:tabs>
          <w:tab w:val="num" w:pos="222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  <w:tabs>
          <w:tab w:val="num" w:pos="294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  <w:tabs>
          <w:tab w:val="num" w:pos="366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  <w:tabs>
          <w:tab w:val="num" w:pos="438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  <w:tabs>
          <w:tab w:val="num" w:pos="510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  <w:tabs>
          <w:tab w:val="num" w:pos="582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  <w:tabs>
          <w:tab w:val="num" w:pos="6540" w:leader="none"/>
        </w:tabs>
      </w:pPr>
      <w:rPr>
        <w:rFonts w:ascii="Wingdings" w:hAnsi="Wingdings"/>
      </w:rPr>
    </w:lvl>
  </w:abstractNum>
  <w:abstractNum w:abstractNumId="11">
    <w:multiLevelType w:val="hybridMultilevel"/>
    <w:lvl w:ilvl="0">
      <w:start w:val="3"/>
      <w:numFmt w:val="bullet"/>
      <w:isLgl w:val="false"/>
      <w:suff w:val="tab"/>
      <w:lvlText w:val=""/>
      <w:lvlJc w:val="left"/>
      <w:pPr>
        <w:ind w:left="757" w:hanging="360"/>
        <w:tabs>
          <w:tab w:val="num" w:pos="757" w:leader="none"/>
        </w:tabs>
      </w:pPr>
      <w:rPr>
        <w:rFonts w:ascii="Symbol" w:hAnsi="Symbol" w:eastAsia="Times New Roman" w:cs="Times New Roman"/>
        <w:sz w:val="22"/>
      </w:rPr>
    </w:lvl>
    <w:lvl w:ilvl="1">
      <w:start w:val="1"/>
      <w:numFmt w:val="bullet"/>
      <w:isLgl w:val="false"/>
      <w:suff w:val="tab"/>
      <w:lvlText w:val="o"/>
      <w:lvlJc w:val="left"/>
      <w:pPr>
        <w:ind w:left="1477" w:hanging="360"/>
        <w:tabs>
          <w:tab w:val="num" w:pos="1477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7" w:hanging="360"/>
        <w:tabs>
          <w:tab w:val="num" w:pos="2197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7" w:hanging="360"/>
        <w:tabs>
          <w:tab w:val="num" w:pos="2917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7" w:hanging="360"/>
        <w:tabs>
          <w:tab w:val="num" w:pos="3637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7" w:hanging="360"/>
        <w:tabs>
          <w:tab w:val="num" w:pos="4357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7" w:hanging="360"/>
        <w:tabs>
          <w:tab w:val="num" w:pos="5077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7" w:hanging="360"/>
        <w:tabs>
          <w:tab w:val="num" w:pos="5797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7" w:hanging="360"/>
        <w:tabs>
          <w:tab w:val="num" w:pos="6517" w:leader="none"/>
        </w:tabs>
      </w:pPr>
      <w:rPr>
        <w:rFonts w:ascii="Wingdings" w:hAnsi="Wingdings"/>
      </w:rPr>
    </w:lvl>
  </w:abstractNum>
  <w:abstractNum w:abstractNumId="12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2"/>
  </w:num>
  <w:num w:numId="5">
    <w:abstractNumId w:val="1"/>
  </w:num>
  <w:num w:numId="6">
    <w:abstractNumId w:val="0"/>
  </w:num>
  <w:num w:numId="7">
    <w:abstractNumId w:val="12"/>
  </w:num>
  <w:num w:numId="8">
    <w:abstractNumId w:val="11"/>
  </w:num>
  <w:num w:numId="9">
    <w:abstractNumId w:val="9"/>
  </w:num>
  <w:num w:numId="10">
    <w:abstractNumId w:val="4"/>
  </w:num>
  <w:num w:numId="11">
    <w:abstractNumId w:val="8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43"/>
    <w:next w:val="643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12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43"/>
    <w:next w:val="643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12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43"/>
    <w:next w:val="643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12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43"/>
    <w:next w:val="643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12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43"/>
    <w:next w:val="643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12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43"/>
    <w:next w:val="643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12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43"/>
    <w:next w:val="643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12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43"/>
    <w:next w:val="643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12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43"/>
    <w:next w:val="643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12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43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43"/>
    <w:next w:val="643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12"/>
    <w:link w:val="35"/>
    <w:uiPriority w:val="10"/>
    <w:rPr>
      <w:sz w:val="48"/>
      <w:szCs w:val="48"/>
    </w:rPr>
  </w:style>
  <w:style w:type="paragraph" w:styleId="37">
    <w:name w:val="Subtitle"/>
    <w:basedOn w:val="643"/>
    <w:next w:val="643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12"/>
    <w:link w:val="37"/>
    <w:uiPriority w:val="11"/>
    <w:rPr>
      <w:sz w:val="24"/>
      <w:szCs w:val="24"/>
    </w:rPr>
  </w:style>
  <w:style w:type="paragraph" w:styleId="39">
    <w:name w:val="Quote"/>
    <w:basedOn w:val="643"/>
    <w:next w:val="643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43"/>
    <w:next w:val="643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43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12"/>
    <w:link w:val="43"/>
    <w:uiPriority w:val="99"/>
  </w:style>
  <w:style w:type="paragraph" w:styleId="45">
    <w:name w:val="Footer"/>
    <w:basedOn w:val="643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12"/>
    <w:link w:val="45"/>
    <w:uiPriority w:val="99"/>
  </w:style>
  <w:style w:type="paragraph" w:styleId="47">
    <w:name w:val="Caption"/>
    <w:basedOn w:val="643"/>
    <w:next w:val="643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12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43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12"/>
    <w:uiPriority w:val="99"/>
    <w:unhideWhenUsed/>
    <w:rPr>
      <w:vertAlign w:val="superscript"/>
    </w:rPr>
  </w:style>
  <w:style w:type="paragraph" w:styleId="179">
    <w:name w:val="endnote text"/>
    <w:basedOn w:val="643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12"/>
    <w:uiPriority w:val="99"/>
    <w:semiHidden/>
    <w:unhideWhenUsed/>
    <w:rPr>
      <w:vertAlign w:val="superscript"/>
    </w:rPr>
  </w:style>
  <w:style w:type="paragraph" w:styleId="182">
    <w:name w:val="toc 1"/>
    <w:basedOn w:val="643"/>
    <w:next w:val="643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43"/>
    <w:next w:val="643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43"/>
    <w:next w:val="643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43"/>
    <w:next w:val="643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43"/>
    <w:next w:val="643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43"/>
    <w:next w:val="643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43"/>
    <w:next w:val="643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43"/>
    <w:next w:val="643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43"/>
    <w:next w:val="643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43"/>
    <w:next w:val="643"/>
    <w:uiPriority w:val="99"/>
    <w:unhideWhenUsed/>
    <w:pPr>
      <w:spacing w:after="0" w:afterAutospacing="0"/>
    </w:pPr>
  </w:style>
  <w:style w:type="paragraph" w:styleId="643" w:default="1">
    <w:name w:val="Normal"/>
    <w:next w:val="643"/>
    <w:link w:val="643"/>
    <w:qFormat/>
    <w:rPr>
      <w:sz w:val="24"/>
      <w:szCs w:val="24"/>
      <w:lang w:val="ru-RU" w:eastAsia="ru-RU" w:bidi="ar-SA"/>
    </w:rPr>
  </w:style>
  <w:style w:type="paragraph" w:styleId="644">
    <w:name w:val="Заголовок 1"/>
    <w:basedOn w:val="643"/>
    <w:next w:val="643"/>
    <w:link w:val="643"/>
    <w:qFormat/>
    <w:pPr>
      <w:keepNext/>
      <w:outlineLvl w:val="0"/>
    </w:pPr>
    <w:rPr>
      <w:sz w:val="28"/>
    </w:rPr>
  </w:style>
  <w:style w:type="paragraph" w:styleId="645">
    <w:name w:val="Заголовок 2"/>
    <w:basedOn w:val="643"/>
    <w:next w:val="643"/>
    <w:link w:val="643"/>
    <w:qFormat/>
    <w:pPr>
      <w:keepNext/>
      <w:spacing w:line="360" w:lineRule="auto"/>
      <w:pBdr>
        <w:bottom w:val="single" w:color="000000" w:sz="12" w:space="8"/>
      </w:pBdr>
      <w:outlineLvl w:val="1"/>
    </w:pPr>
  </w:style>
  <w:style w:type="character" w:styleId="646">
    <w:name w:val="Основной шрифт абзаца"/>
    <w:next w:val="646"/>
    <w:link w:val="643"/>
    <w:semiHidden/>
  </w:style>
  <w:style w:type="table" w:styleId="647">
    <w:name w:val="Обычная таблица"/>
    <w:next w:val="647"/>
    <w:link w:val="643"/>
    <w:semiHidden/>
    <w:tblPr/>
  </w:style>
  <w:style w:type="numbering" w:styleId="648">
    <w:name w:val="Нет списка"/>
    <w:next w:val="648"/>
    <w:link w:val="643"/>
    <w:semiHidden/>
  </w:style>
  <w:style w:type="paragraph" w:styleId="649">
    <w:name w:val="Normal1"/>
    <w:next w:val="649"/>
    <w:link w:val="643"/>
    <w:pPr>
      <w:ind w:firstLine="720"/>
      <w:spacing w:before="460" w:line="420" w:lineRule="auto"/>
      <w:widowControl w:val="off"/>
    </w:pPr>
    <w:rPr>
      <w:rFonts w:ascii="Arial" w:hAnsi="Arial"/>
      <w:sz w:val="28"/>
      <w:lang w:val="ru-RU" w:eastAsia="ru-RU" w:bidi="ar-SA"/>
    </w:rPr>
  </w:style>
  <w:style w:type="paragraph" w:styleId="650">
    <w:name w:val="Название"/>
    <w:basedOn w:val="643"/>
    <w:next w:val="650"/>
    <w:link w:val="643"/>
    <w:qFormat/>
    <w:pPr>
      <w:jc w:val="center"/>
    </w:pPr>
    <w:rPr>
      <w:b/>
      <w:bCs/>
    </w:rPr>
  </w:style>
  <w:style w:type="paragraph" w:styleId="651">
    <w:name w:val="Основной текст с отступом"/>
    <w:basedOn w:val="643"/>
    <w:next w:val="651"/>
    <w:link w:val="643"/>
    <w:pPr>
      <w:ind w:firstLine="397"/>
      <w:jc w:val="both"/>
    </w:pPr>
    <w:rPr>
      <w:rFonts w:ascii="Arial" w:hAnsi="Arial"/>
      <w:sz w:val="20"/>
      <w:szCs w:val="20"/>
    </w:rPr>
  </w:style>
  <w:style w:type="paragraph" w:styleId="652">
    <w:name w:val="Основной текст с отступом 2"/>
    <w:basedOn w:val="643"/>
    <w:next w:val="652"/>
    <w:link w:val="643"/>
    <w:pPr>
      <w:ind w:firstLine="709"/>
      <w:jc w:val="both"/>
    </w:pPr>
  </w:style>
  <w:style w:type="paragraph" w:styleId="653">
    <w:name w:val="Основной текст"/>
    <w:basedOn w:val="643"/>
    <w:next w:val="653"/>
    <w:link w:val="643"/>
    <w:rPr>
      <w:sz w:val="20"/>
    </w:rPr>
  </w:style>
  <w:style w:type="paragraph" w:styleId="654">
    <w:name w:val="Основной текст 2"/>
    <w:basedOn w:val="643"/>
    <w:next w:val="654"/>
    <w:link w:val="643"/>
    <w:rPr>
      <w:sz w:val="22"/>
    </w:rPr>
  </w:style>
  <w:style w:type="character" w:styleId="655">
    <w:name w:val="Гиперссылка"/>
    <w:next w:val="655"/>
    <w:link w:val="643"/>
    <w:rPr>
      <w:color w:val="0563c1"/>
      <w:u w:val="single"/>
    </w:rPr>
  </w:style>
  <w:style w:type="character" w:styleId="1033" w:default="1">
    <w:name w:val="Default Paragraph Font"/>
    <w:uiPriority w:val="1"/>
    <w:semiHidden/>
    <w:unhideWhenUsed/>
  </w:style>
  <w:style w:type="numbering" w:styleId="1034" w:default="1">
    <w:name w:val="No List"/>
    <w:uiPriority w:val="99"/>
    <w:semiHidden/>
    <w:unhideWhenUsed/>
  </w:style>
  <w:style w:type="table" w:styleId="1035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Zeto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на разъединители</dc:title>
  <dc:creator>market</dc:creator>
  <cp:lastModifiedBy>Kasatkina-VS</cp:lastModifiedBy>
  <cp:revision>13</cp:revision>
  <dcterms:created xsi:type="dcterms:W3CDTF">2021-09-17T05:05:00Z</dcterms:created>
  <dcterms:modified xsi:type="dcterms:W3CDTF">2026-08-17T04:21:56Z</dcterms:modified>
  <cp:version>1048576</cp:version>
</cp:coreProperties>
</file>